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《用频率估计概率》教案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1、经历实验、统计等活动过程，在活动中进一步发展学生合作交流的意识和能力。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2、通过实验，理解当实验次数较大时实验频率稳定于理论频率，并据此估计某一事件发生的概率。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3、通过动手实验和课堂交流，进一步培养收集、描述、分析数据的技能，提高数学交流水平，发展探索、合作的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12" name="图片 4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4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通过实验，理解当实验次数较大时实验频率稳定于理论频率，并据此估计某一事件发生的概率。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课型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新授课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引导发现法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课前指导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1．请你回忆。(频数、频率、统计图表的设计。)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2．实验方法和步骤的指导。(每人准备两枚硬币，一个计算器。)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3．学生分工合作的指导。(设计好统计图表。)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4．学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11" name="图片 4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4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生实验态度的教育。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（一）提出问题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1．在硬币还未抛出前，猜想当硬币抛出后是正面朝上，还是反面朝上?为什么?假如你已经抛掷了1000次，你能否预测到第l001次抛掷的结果?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2．假如你已经抛掷了400次，你能否猜测出“出现正面”的频数是多少?频率是多少?800次呢?随着我们抛掷一枚硬币的次数逐渐增多，你猜想有什么规律?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3．当我们抛掷两枚硬币时，猜一猜当抛掷次数很多以后，“出现正面”和“出现一正一反”这两个不确定事件的频率是多少?是否比较稳定?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4．假如你在抛硬币的过程中，硬币不见了，你该怎么办?找一枚图钉代替呢?还是再找另外一枚硬币代替?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（二）学生猜想，并归纳猜想结论。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学生先自己思考猜想，然后讨论交流继续猜想。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教师汇总并板书学生猜想的各种结果。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（三）实验验证。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1．实验1。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同桌一组，一个抛掷，一个记录数据。要求将实验结果填人下列统计表，并绘制折线图。</w:t>
      </w:r>
    </w:p>
    <w:tbl>
      <w:tblPr>
        <w:tblStyle w:val="7"/>
        <w:tblW w:w="5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99CC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426"/>
        <w:gridCol w:w="531"/>
        <w:gridCol w:w="561"/>
        <w:gridCol w:w="531"/>
        <w:gridCol w:w="531"/>
        <w:gridCol w:w="531"/>
        <w:gridCol w:w="531"/>
        <w:gridCol w:w="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99CC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6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抛掷次数</w:t>
            </w:r>
          </w:p>
        </w:tc>
        <w:tc>
          <w:tcPr>
            <w:tcW w:w="426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56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22860"/>
                  <wp:effectExtent l="0" t="0" r="0" b="0"/>
                  <wp:docPr id="409" name="图片 49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" name="图片 49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6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出现正面的频数</w:t>
            </w:r>
          </w:p>
        </w:tc>
        <w:tc>
          <w:tcPr>
            <w:tcW w:w="426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6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出现正面的频率</w:t>
            </w:r>
          </w:p>
        </w:tc>
        <w:tc>
          <w:tcPr>
            <w:tcW w:w="426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7"/>
        <w:tblW w:w="6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99CC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5"/>
        <w:gridCol w:w="531"/>
        <w:gridCol w:w="531"/>
        <w:gridCol w:w="531"/>
        <w:gridCol w:w="531"/>
        <w:gridCol w:w="531"/>
        <w:gridCol w:w="531"/>
        <w:gridCol w:w="837"/>
        <w:gridCol w:w="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99CC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5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抛掷次数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550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650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700</w:t>
            </w:r>
          </w:p>
        </w:tc>
        <w:tc>
          <w:tcPr>
            <w:tcW w:w="837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750[来源:Z|xx|k.Com]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5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出现正面的频数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22860"/>
                  <wp:effectExtent l="0" t="0" r="0" b="0"/>
                  <wp:docPr id="406" name="图片 49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图片 49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85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出现正面的频率</w:t>
            </w: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FF99C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2．实验2。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四人一组，一人抛掷，一人记录出现两个正面的数据，一人记录出现一正一反的数据，一人将实验结果填人课本的表格中，最后绘制折线图。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3．教师再利用计算机课件演示抛掷一枚、两枚硬币的全过程，以增加实验时的抛掷次数。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（四）讨论交流，寻找规律。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1．通过实验，体会到随机事件在每次实验中发生与否具有不确定性。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2．只要保持实验条件不变，那么随机事件的发生频率也会表现出规律：即随着相同条件下实验次数的增加，其值逐渐趋于稳定，稳定到某一个数值。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（五）验证猜想，得出结论。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1．具有不确定性，因为抛掷硬币是随机事件。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2．频数具体是多少不确定。但是在实验中，抛掷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407" name="图片 4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4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400次时频数约是200次，频率约是50％。随着相同条件下实验次数的增加，其值逐渐趋于稳定，稳定到5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08" name="图片 4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4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0％左右。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3．实验2中，出现两个正面的频率约是25％，出现一正一反的频率约是 50％。比较稳定。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4．不能用图钉代替，因为用图钉代替改变了实验的条件。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4686300" cy="792480"/>
                <wp:effectExtent l="4445" t="5080" r="14605" b="21590"/>
                <wp:wrapNone/>
                <wp:docPr id="410" name="文本框 41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7924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在进行大量的重复实验时，随着实验次数的增加，一个不确定事件发生的频率会逐渐稳定到某一个数值。我们可以用平稳时的频率来估计这个事件发生的概率。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7pt;margin-top:7.8pt;height:62.4pt;width:369pt;z-index:251658240;mso-width-relative:page;mso-height-relative:page;" fillcolor="#FFFF00" filled="t" stroked="t" coordsize="21600,21600" o:gfxdata="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Jb0sSHaAAAACQEAAA8AAAAAAAAAAQAgAAAAIgAAAGRycy9k&#10;b3ducmV2LnhtbFBLAQIUABQAAAAIAIdO4kBcwzBWqwIAAJ4EAAAOAAAAAAAAAAEAIAAAACkBAABk&#10;cnMvZTJvRG9jLnhtbFBLBQYAAAAABgAGAFkBAABGBg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在进行大量的重复实验时，随着实验次数的增加，一个不确定事件发生的频率会逐渐稳定到某一个数值。我们可以用平稳时的频率来估计这个事件发生的概率。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（六）预览典例：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例1：某射手在相同条件下进行射击训练，结果如下：</w:t>
      </w:r>
    </w:p>
    <w:tbl>
      <w:tblPr>
        <w:tblStyle w:val="7"/>
        <w:tblW w:w="7380" w:type="dxa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C99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720"/>
        <w:gridCol w:w="912"/>
        <w:gridCol w:w="888"/>
        <w:gridCol w:w="900"/>
        <w:gridCol w:w="108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C99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8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射击次数/次</w:t>
            </w:r>
          </w:p>
        </w:tc>
        <w:tc>
          <w:tcPr>
            <w:tcW w:w="72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912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888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108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8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击中靶心次数/次</w:t>
            </w:r>
          </w:p>
        </w:tc>
        <w:tc>
          <w:tcPr>
            <w:tcW w:w="72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912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888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</w: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</w:t>
            </w:r>
          </w:p>
        </w:tc>
        <w:tc>
          <w:tcPr>
            <w:tcW w:w="108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178</w: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198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击中靶心频率</w:t>
            </w:r>
          </w:p>
        </w:tc>
        <w:tc>
          <w:tcPr>
            <w:tcW w:w="72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分别计算表中击中靶心的频率，并填表。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这个射手射击一次，击中靶心的概率大约是多少？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解：（1）由射击次数和击中靶心次数，可以分别求出击中靶心的频率为：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0.9,0.95,0.88,0.91,0.89,0.90.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(2)由上表可以发现，随着射击次数的增加，事件“射击一次击中靶心”的频率稳定在0.90左右，所以可以用频率0.90来估计这个射手射击一次击中靶心的概率，即击中靶心的概率大约是0.90。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例2：一个不透明的袋子里装有一些质地、大小都相同的黑球和白球，某学习小组做摸球实验，将球搅匀后，从中随击摸出一个球，记下它的颜色后放回袋中，然后再进行下一次实验。下表是他们整理得到的试验数据：</w:t>
      </w:r>
    </w:p>
    <w:tbl>
      <w:tblPr>
        <w:tblStyle w:val="7"/>
        <w:tblW w:w="756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C99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900"/>
        <w:gridCol w:w="900"/>
        <w:gridCol w:w="900"/>
        <w:gridCol w:w="882"/>
        <w:gridCol w:w="918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C99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4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摸球次数n</w: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882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394" name="图片 49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图片 49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7940" cy="12700"/>
                  <wp:effectExtent l="0" t="0" r="0" b="0"/>
                  <wp:docPr id="404" name="图片 49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" name="图片 49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</w:t>
            </w:r>
          </w:p>
        </w:tc>
        <w:tc>
          <w:tcPr>
            <w:tcW w:w="72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4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摸到白球的次数m</w: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</w:t>
            </w:r>
          </w:p>
        </w:tc>
        <w:tc>
          <w:tcPr>
            <w:tcW w:w="882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</w:t>
            </w:r>
          </w:p>
        </w:tc>
        <w:tc>
          <w:tcPr>
            <w:tcW w:w="918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178</w:t>
            </w:r>
          </w:p>
        </w:tc>
        <w:tc>
          <w:tcPr>
            <w:tcW w:w="72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234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摸到白球的频率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25" o:spt="75" alt="学科网(www.zxxk.com)--教育资源门户，提供试卷、教案、课件、论文、素材及各类教学资源下载，还有大量而丰富的教学相关资讯！" type="#_x0000_t75" style="height:31pt;width:13.95pt;" o:ole="t" filled="f" stroked="f" coordsize="21600,21600">
                  <v:path/>
                  <v:fill on="f" focussize="0,0"/>
                  <v:stroke on="f"/>
                  <v:imagedata r:id="rId9" o:title=""/>
                  <o:lock v:ext="edit" grouping="f" rotation="f" text="f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8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CC99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（1）当摸球次数n很大时，摸到白球的频率将会接近哪个数值？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（2）假如你去摸一次，摸到白球的概率约是多少？摸到黑球的概率约是多少？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解：（1）从表中的数据可以发现，随着摸球次数的增加，摸到白球的频率在0.60左右摆动，并且随着实验次数的增加，这种规律更加明显，所以估计摸到白球的频率会接近于0.60；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（2）根据（1），可以估计摸一次球时，摸到白球的概率约是0.60，摸到黑球的概率约是0.40。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（七）巩固练习：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(1)观察大量的反复实验后获得的频率的折线统计图，发现只要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96" name="图片 4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4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保持实验条件不变，那么，随机事件发生的频率也会表现出规律：即随着相同条件下实验次数的增加，其值逐渐稳定到＿＿＿＿＿。我们可以用平稳时的频率估计这一事件发生的可能性，即＿＿＿＿＿＿＿。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(2)抛掷一枚硬币的实验中，出现正面的机会是＿＿＿＿＿。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(3)抛掷两枚硬币的实验中，随着实验次数的增加出现两个正面的频率将逐渐稳定在＿＿＿＿＿左右。出现—正一反的频率将逐渐稳定在＿＿＿＿＿＿左右。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2．判断。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(1)某彩票的中奖机会是1／22，那么某人买22张彩票，肯定有一张中奖。   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(2)抛掷一枚质量分布均匀的硬币，出现"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正</w:t>
      </w:r>
      <w:r>
        <w:rPr>
          <w:rFonts w:hint="eastAsia" w:ascii="微软雅黑" w:hAnsi="微软雅黑" w:eastAsia="微软雅黑" w:cs="微软雅黑"/>
          <w:sz w:val="24"/>
          <w:szCs w:val="24"/>
        </w:rPr>
        <w:t>面”和“反面”的机会均等。因此，抛1000次的话，一定会有500次“正”，500次“反”。   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（八）拓展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97" name="图片 4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4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延伸、开放性练习。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1．以下是某位同学在做400次抛掷两枚硬币的实验时，根据“出现两个正面”的成功率，画出的折线图。(横坐标表示实验总次数，纵坐标表示实验成功率。)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(1)我们可以看到，随着实验的次数的增加，成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98" name="图片 5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5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功率是这样变化的：＿＿＿＿＿＿＿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(2)因为成功率有趋于稳定的特点，所以我们以后就用平稳时的成功率表示某一事件发生的＿＿＿＿＿，即＿＿＿＿＿。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01" name="图片 5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5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(3)可以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99" name="图片 5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5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看到当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02" name="图片 5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5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实验进行到260次后，所得频率值就在＿＿＿＿上下浮动，所以我们可以得到“机会大约是＿＿＿＿＿＿”的粗略估计。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3535680" cy="958850"/>
            <wp:effectExtent l="0" t="0" r="7620" b="12700"/>
            <wp:docPr id="405" name="图片 5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5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rcRect l="4034" t="46729" r="23801" b="37898"/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2．准备30张小卡片，上面分别写好数1到30，然后将卡片放在袋子里搅匀。每次从袋中取出一张卡片，记录结果，然后放回搅匀再抽。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(1)将实验结果填人下表。</w:t>
      </w:r>
    </w:p>
    <w:tbl>
      <w:tblPr>
        <w:tblStyle w:val="7"/>
        <w:tblW w:w="6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6"/>
        <w:gridCol w:w="426"/>
        <w:gridCol w:w="426"/>
        <w:gridCol w:w="426"/>
        <w:gridCol w:w="426"/>
        <w:gridCol w:w="531"/>
        <w:gridCol w:w="531"/>
        <w:gridCol w:w="531"/>
        <w:gridCol w:w="531"/>
        <w:gridCol w:w="531"/>
        <w:gridCol w:w="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实验次数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</w:t>
            </w: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140</w:t>
            </w: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160</w:t>
            </w: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180</w:t>
            </w: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出现3的倍数的频数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出现3的倍数的频率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(2)根据上表中的数据绘制折线图。 (3)在实验数据中发现了什么规律? (4)频率稳定于什么值? (5)知道从一个袋中取出一张卡片是3的倍数的机会是多少?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（九）回顾概括：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学生畅所欲言，回顾归纳本节课的收获与体会。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课后反思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这是一节学生的自主活动课，教师既不提前给以暗示，也不道出答案，而是一切活动让学生经历、体验、感悟，教学目标一一达成。以一种"平等中的首席"之身份介入，防止实践误入歧途。学生经历活动一以后，在蓄势以待的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03" name="图片 5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5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求知状态下，眼神中闪烁着一份渴望探索的目光 ，数学正如春风化雨般悄悄地滋润着他们精神的家园。若每一节课能这样深深地吸引学生，享受数学，享受成功的教育理想就会实现！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44671F9"/>
    <w:rsid w:val="089D21B1"/>
    <w:rsid w:val="0E0D4334"/>
    <w:rsid w:val="13DC6D53"/>
    <w:rsid w:val="148A623B"/>
    <w:rsid w:val="15503101"/>
    <w:rsid w:val="163D36BC"/>
    <w:rsid w:val="170F4F04"/>
    <w:rsid w:val="18E37AF2"/>
    <w:rsid w:val="1A38285A"/>
    <w:rsid w:val="2BA6205B"/>
    <w:rsid w:val="2CA41F8D"/>
    <w:rsid w:val="326E2EDA"/>
    <w:rsid w:val="33682EB9"/>
    <w:rsid w:val="36946476"/>
    <w:rsid w:val="38DF6342"/>
    <w:rsid w:val="3DA6768F"/>
    <w:rsid w:val="4E4B7A62"/>
    <w:rsid w:val="51B91FA3"/>
    <w:rsid w:val="5813061B"/>
    <w:rsid w:val="5A7B0E3E"/>
    <w:rsid w:val="5AA41669"/>
    <w:rsid w:val="5DC0189A"/>
    <w:rsid w:val="5F6B0365"/>
    <w:rsid w:val="60144415"/>
    <w:rsid w:val="64F222B0"/>
    <w:rsid w:val="65532FDE"/>
    <w:rsid w:val="65994850"/>
    <w:rsid w:val="66427EE5"/>
    <w:rsid w:val="70F72490"/>
    <w:rsid w:val="74EB4ACD"/>
    <w:rsid w:val="76A620E7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jc w:val="center"/>
      <w:outlineLvl w:val="0"/>
    </w:pPr>
    <w:rPr>
      <w:rFonts w:ascii="Times New Roman" w:hAnsi="Arial"/>
      <w:kern w:val="0"/>
      <w:sz w:val="44"/>
      <w:szCs w:val="44"/>
      <w:lang w:val="zh-CN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customStyle="1" w:styleId="12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3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